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Student’sName: </w:t>
        <w:tab/>
        <w:tab/>
        <w:tab/>
        <w:tab/>
        <w:tab/>
        <w:tab/>
        <w:tab/>
        <w:t xml:space="preserve">Date:</w:t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Assessed by:</w:t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Starting with the Anticipation Calendar time frame, continue until the student misses a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key characteristic (in bold)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Stop at this point. Select this time frame. The student should be able to demonstrate the key characteristics of each time frame before moving to the next time frame. The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secondary characteristics (in italics)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are not required but may help families and staff select a time frame. </w:t>
      </w:r>
    </w:p>
    <w:p w:rsidR="00000000" w:rsidDel="00000000" w:rsidP="00000000" w:rsidRDefault="00000000" w:rsidRPr="00000000" w14:paraId="0000000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entury Gothic" w:cs="Century Gothic" w:eastAsia="Century Gothic" w:hAnsi="Century Gothic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 xml:space="preserve">Time Frame: Anticipation Calendar</w:t>
      </w:r>
    </w:p>
    <w:p w:rsidR="00000000" w:rsidDel="00000000" w:rsidP="00000000" w:rsidRDefault="00000000" w:rsidRPr="00000000" w14:paraId="00000008">
      <w:pPr>
        <w:jc w:val="center"/>
        <w:rPr>
          <w:rFonts w:ascii="Century Gothic" w:cs="Century Gothic" w:eastAsia="Century Gothic" w:hAnsi="Century Gothi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Recognizes some of the people, locations, sounds, scents and action associated with a couple of familiar activities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Acts  appropriately on one or two objects in a familiar routine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Anticipates a few steps while doing a familiar routine indicating memory of the routine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Understands when a routine is finished in 1 or 2 predictable routines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Anticipates the onset of any activity based on signal level cues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Anticipates the onset of an activity for a few events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Has not yet developed the ability to use objects to represent activities.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Has yet to develop an organized means to request or reject preferred activities.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720" w:hanging="360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Needs maximum support in attending to things outside of the body.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720" w:hanging="360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Allows or enjoys brief interactions with others.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720" w:hanging="360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Distinguishes between a few caregivers.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Notes: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entury Gothic" w:cs="Century Gothic" w:eastAsia="Century Gothic" w:hAnsi="Century Gothic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 xml:space="preserve">Time Frame: Daily Calendar</w:t>
      </w:r>
    </w:p>
    <w:p w:rsidR="00000000" w:rsidDel="00000000" w:rsidP="00000000" w:rsidRDefault="00000000" w:rsidRPr="00000000" w14:paraId="00000017">
      <w:pPr>
        <w:jc w:val="center"/>
        <w:rPr>
          <w:rFonts w:ascii="Century Gothic" w:cs="Century Gothic" w:eastAsia="Century Gothic" w:hAnsi="Century Gothi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Recognizes some of the people, locations, sounds, scents and actions associated with three or more familiar activities.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Acts appropriately on several objects in familiar routines.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Anticipates several steps within a few routines.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Anticipates upcoming events from object cues.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Can make an association between object symbols and activities despite time and distance between presentation of an object and the actual activity (e.g. 3-4 feet away and the time it takes to travel there).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Understands when an activity has ended in several familiar routines (three or more).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Can attend to the environment and does not withdraw (for approximately 2 minutes).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Frequently works left to right without support.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Understands which familiar activity will take place when going to a particular location.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Begins to show object permanence. 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Notes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Time Frame: Weekly Calendar</w:t>
      </w:r>
    </w:p>
    <w:p w:rsidR="00000000" w:rsidDel="00000000" w:rsidP="00000000" w:rsidRDefault="00000000" w:rsidRPr="00000000" w14:paraId="0000002A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line="360" w:lineRule="auto"/>
        <w:ind w:left="72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Remembers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activities that took place a few days ago.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360" w:lineRule="auto"/>
        <w:ind w:left="72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Seems to associate particular events on the day it usually occurs (e.g. Monday: restaurant, Tuesday: allergy shot), without necessarily knowing the names of the days.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360" w:lineRule="auto"/>
        <w:ind w:left="72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Indicates an understanding of “past” by noticing when familiar events are wrapping up or are completed.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line="360" w:lineRule="auto"/>
        <w:ind w:left="72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Anticipates a number of activities in response to cues (e.g. an object symbol, picture, or tactile symbol) associated with the activity. 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360" w:lineRule="auto"/>
        <w:ind w:left="72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Maintains joint attention, attends to the environment, and interacts with others for several minutes.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360" w:lineRule="auto"/>
        <w:ind w:left="72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Usually works left to right without support.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360" w:lineRule="auto"/>
        <w:ind w:left="720" w:hanging="360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Recognizes numerous objects that are associated with one routine.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360" w:lineRule="auto"/>
        <w:ind w:left="720" w:hanging="360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Requests events that cannot be done today and wants to know when activities will be scheduled.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line="360" w:lineRule="auto"/>
        <w:ind w:left="720" w:hanging="360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Needs strong contextual support for conversations and understanding instruction.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Notes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: 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sz w:val="18"/>
        <w:szCs w:val="18"/>
        <w:rtl w:val="0"/>
      </w:rPr>
      <w:t xml:space="preserve">Checklist From: Blaha, R. (2001). </w:t>
    </w:r>
    <w:r w:rsidDel="00000000" w:rsidR="00000000" w:rsidRPr="00000000">
      <w:rPr>
        <w:i w:val="1"/>
        <w:iCs w:val="1"/>
        <w:sz w:val="18"/>
        <w:szCs w:val="18"/>
        <w:rtl w:val="0"/>
      </w:rPr>
      <w:t xml:space="preserve">Calendars.</w:t>
    </w:r>
    <w:r w:rsidDel="00000000" w:rsidR="00000000" w:rsidRPr="00000000">
      <w:rPr>
        <w:sz w:val="18"/>
        <w:szCs w:val="18"/>
        <w:rtl w:val="0"/>
      </w:rPr>
      <w:t xml:space="preserve"> Texas School for the Blind and Visually Impaired.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Checklist From: Blaha, R. (2001). </w:t>
    </w:r>
    <w:r w:rsidDel="00000000" w:rsidR="00000000" w:rsidRPr="00000000">
      <w:rPr>
        <w:i w:val="1"/>
        <w:iCs w:val="1"/>
        <w:sz w:val="18"/>
        <w:szCs w:val="18"/>
        <w:rtl w:val="0"/>
      </w:rPr>
      <w:t xml:space="preserve">Calendars.</w:t>
    </w:r>
    <w:r w:rsidDel="00000000" w:rsidR="00000000" w:rsidRPr="00000000">
      <w:rPr>
        <w:sz w:val="18"/>
        <w:szCs w:val="18"/>
        <w:rtl w:val="0"/>
      </w:rPr>
      <w:t xml:space="preserve"> Texas School for the Blind and Visually Impaired.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>
        <w:rFonts w:ascii="Century Gothic" w:cs="Century Gothic" w:eastAsia="Century Gothic" w:hAnsi="Century Gothic"/>
        <w:b w:val="1"/>
        <w:bCs w:val="1"/>
        <w:sz w:val="26"/>
        <w:szCs w:val="26"/>
        <w:u w:val="single"/>
      </w:rPr>
    </w:pPr>
    <w:r w:rsidDel="00000000" w:rsidR="00000000" w:rsidRPr="00000000">
      <w:rPr>
        <w:rFonts w:ascii="Century Gothic" w:cs="Century Gothic" w:eastAsia="Century Gothic" w:hAnsi="Century Gothic"/>
        <w:b w:val="1"/>
        <w:bCs w:val="1"/>
        <w:sz w:val="26"/>
        <w:szCs w:val="26"/>
        <w:u w:val="single"/>
        <w:rtl w:val="0"/>
      </w:rPr>
      <w:t xml:space="preserve">Guide to Selecting Time Frames for Calendar Systems</w:t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